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B6D28" w14:textId="77777777" w:rsidR="00D85351" w:rsidRPr="001B07B0" w:rsidRDefault="00D85351" w:rsidP="00D853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16576D7A" w14:textId="7F8D467B" w:rsidR="000C7EF1" w:rsidRPr="001B07B0" w:rsidRDefault="00AE617C" w:rsidP="00D853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На основу члана 90. став 4. Закона о пловидби и лукама на унутрашњим водама </w:t>
      </w:r>
      <w:r w:rsidR="00D84F5E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(„Службени гласник РС”, бр. 73/10, 121/12, 18/15, 96/15 - др. закон, 92/16, 104/16 - др. закон, 113/17 - др. закон, 41/18, 95/18 - др. закон, 37/19 - др. закон, 9/20 и 52/21)</w:t>
      </w:r>
      <w:r w:rsidR="009A2D03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и члана 42. став 1. Закона о Влади („Службени гласник РС”, бр. 55/05, 71/05 </w:t>
      </w:r>
      <w:r w:rsidR="00D84F5E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исправка, 101/07, 65/08, 16/11, 68/12 </w:t>
      </w:r>
      <w:r w:rsidR="00D84F5E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УС, 72/12, 7/14 </w:t>
      </w:r>
      <w:r w:rsidR="00D84F5E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УС, 44/14 и 30/18 </w:t>
      </w:r>
      <w:r w:rsidR="00D84F5E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др. закон),</w:t>
      </w:r>
    </w:p>
    <w:p w14:paraId="69D5EAE5" w14:textId="77777777" w:rsidR="0006361E" w:rsidRPr="001B07B0" w:rsidRDefault="0006361E" w:rsidP="00D853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30FA1E9" w14:textId="77777777" w:rsidR="000C7EF1" w:rsidRPr="001B07B0" w:rsidRDefault="00AE617C" w:rsidP="00D853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Влада доноси</w:t>
      </w:r>
    </w:p>
    <w:p w14:paraId="79C33125" w14:textId="77777777" w:rsidR="00D84F5E" w:rsidRPr="001B07B0" w:rsidRDefault="00D84F5E" w:rsidP="00D853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0415FE9" w14:textId="148FE9EB" w:rsidR="000C7EF1" w:rsidRPr="001B07B0" w:rsidRDefault="0006361E" w:rsidP="00D8535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УРЕДБУ</w:t>
      </w:r>
    </w:p>
    <w:p w14:paraId="77095711" w14:textId="3F42CC8A" w:rsidR="000C7EF1" w:rsidRPr="001B07B0" w:rsidRDefault="0006361E" w:rsidP="00D85351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О ИЗМЕНИ И ДОПУНАМА УРЕДБЕ </w:t>
      </w:r>
      <w:bookmarkStart w:id="0" w:name="_Hlk217043575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 БРОДСКИМ ПОГОНСКИМ МАШИНАМА</w:t>
      </w:r>
      <w:bookmarkEnd w:id="0"/>
    </w:p>
    <w:p w14:paraId="3C5E16D2" w14:textId="77777777" w:rsidR="00D85351" w:rsidRPr="001B07B0" w:rsidRDefault="00D85351" w:rsidP="00D8535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E30BCB8" w14:textId="77777777" w:rsidR="00CF6CB6" w:rsidRPr="001B07B0" w:rsidRDefault="00CF6CB6" w:rsidP="00CF6CB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 1.</w:t>
      </w:r>
    </w:p>
    <w:p w14:paraId="4EC4AD25" w14:textId="6513EDE1" w:rsidR="00CF6CB6" w:rsidRPr="001B07B0" w:rsidRDefault="00CF6CB6" w:rsidP="00CF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У Уредби о бродским погонским машинама („Службени гласник РС”, број 95/25), у члану 4. после тачке 48) додају се </w:t>
      </w:r>
      <w:proofErr w:type="spellStart"/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тач</w:t>
      </w:r>
      <w:proofErr w:type="spellEnd"/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. 49) - 8</w:t>
      </w:r>
      <w:r w:rsidR="00803831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6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) које гласе:</w:t>
      </w:r>
    </w:p>
    <w:p w14:paraId="4310ADF2" w14:textId="0E143515" w:rsidR="00A56172" w:rsidRPr="001B07B0" w:rsidRDefault="00803831" w:rsidP="00803831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„49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594DF2" w:rsidRPr="00594DF2">
        <w:rPr>
          <w:rFonts w:ascii="Times New Roman" w:eastAsia="Verdana" w:hAnsi="Times New Roman" w:cs="Times New Roman"/>
          <w:sz w:val="24"/>
          <w:szCs w:val="24"/>
          <w:lang w:val="sr-Cyrl-RS"/>
        </w:rPr>
        <w:t>Во</w:t>
      </w:r>
      <w:r w:rsidR="005A106C" w:rsidRPr="00594DF2">
        <w:rPr>
          <w:rFonts w:ascii="Times New Roman" w:eastAsia="Verdana" w:hAnsi="Times New Roman" w:cs="Times New Roman"/>
          <w:sz w:val="24"/>
          <w:szCs w:val="24"/>
          <w:lang w:val="sr-Cyrl-RS"/>
        </w:rPr>
        <w:t>беов</w:t>
      </w:r>
      <w:proofErr w:type="spellEnd"/>
      <w:r w:rsidR="005A106C" w:rsidRPr="00594DF2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индекс или „W” је однос одговарајуће вредности сагоревања гасова по јединици обима и квадратног корена његове релативне густине при истим референтним условима</w:t>
      </w:r>
    </w:p>
    <w:p w14:paraId="635B09CE" w14:textId="3F0224E5" w:rsidR="005A106C" w:rsidRPr="001B07B0" w:rsidRDefault="00A56172" w:rsidP="00803831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hAnsi="Times New Roman" w:cs="Times New Roman"/>
          <w:bCs/>
          <w:noProof/>
          <w:sz w:val="20"/>
          <w:szCs w:val="20"/>
          <w:lang w:val="sr-Cyrl-RS" w:eastAsia="en-GB"/>
        </w:rPr>
        <w:drawing>
          <wp:inline distT="0" distB="0" distL="0" distR="0" wp14:anchorId="5ABAE75E" wp14:editId="06F9FA40">
            <wp:extent cx="2588260" cy="2495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260" cy="249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;</w:t>
      </w:r>
    </w:p>
    <w:p w14:paraId="69A802CA" w14:textId="6CC3E78B" w:rsidR="005A106C" w:rsidRPr="001B07B0" w:rsidRDefault="00803831" w:rsidP="008254A9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50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фактор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λ-померања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или „Sλ” је захтевана прилагодљивост систему управљања радом мотора с обзиром на промену коефицијента вишка ваздуха λ ако мотор као гориво употребљава гас чији састав није чист метан;</w:t>
      </w:r>
    </w:p>
    <w:p w14:paraId="6D7FEBA7" w14:textId="02ED7A0C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51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начин рада на текуће гориво је нормалан начин рада мотора с двоструким горивом током којега мотор не употребљава гасовито гориво ни у једном радном стању;</w:t>
      </w:r>
    </w:p>
    <w:p w14:paraId="5F805190" w14:textId="3A89EAAB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52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начин рада на двојно гориво је нормалан начин рада мотора с двоструким горивом током којега мотор истовремено троши течно и гасовито гориво у неким радним стањима мотора;</w:t>
      </w:r>
    </w:p>
    <w:p w14:paraId="58C5F0BB" w14:textId="095DBE60" w:rsidR="005A106C" w:rsidRPr="001B07B0" w:rsidRDefault="005A106C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</w:t>
      </w:r>
      <w:r w:rsidR="0080383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3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систем за накнадну обраду честица је систем за накнадну обраду издувних гасова предвиђен за смањивање емисија чврстих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загађујућих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материја (PМ) механичком, аеродинамичном,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дифузијском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или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инерцијском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сепарацијом;</w:t>
      </w:r>
    </w:p>
    <w:p w14:paraId="3CB11398" w14:textId="014A3071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54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регулатор је уређај или стратегија контроле за аутоматску регулацију брзине или оптерећења мотора, а који није уређај за ограничавање брзине уграђен у мотор категорије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NRSh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којим се ограничава максимална брзина обртаја мотора искључиво ради спречавања рада мотора на брзинама које премашују задату граничну вредност;</w:t>
      </w:r>
    </w:p>
    <w:p w14:paraId="70498A01" w14:textId="011CDB5D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55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температура околине у лабораторијском окружењу је температура у том лабораторијском ок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ужењу;</w:t>
      </w:r>
    </w:p>
    <w:p w14:paraId="504035C2" w14:textId="5C1D764F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56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основна стратегија контроле емисија или „BECS” је стратегија контроле емисија која је активна у целокупном распону брзине обртања и обртног момента унутар којега мотор ради 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осим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ако се активира помоћна стратегија контроле емисија (AECS);</w:t>
      </w:r>
    </w:p>
    <w:p w14:paraId="4A5B34CF" w14:textId="53C6B696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57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реагенс је сваки потрошни или необновљиви 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медиј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нужан и коришћен за успешан рад система за накнадну обраду издувних гасова;</w:t>
      </w:r>
    </w:p>
    <w:p w14:paraId="2805C12B" w14:textId="4F848540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58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помоћна стратегија контроле емисија или „AECS” је стратегија контроле емисија чијом се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активацијом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привремено мења основна стратегија контроле емисија ради постизања одређене сврхе и као одговор на специфичну комбинацију околних услова и/или радних стања и која је активна само док ти услови постоје;</w:t>
      </w:r>
    </w:p>
    <w:p w14:paraId="7FD04B89" w14:textId="47E62EA7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59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добра инжењерска процена је процена у складу с општеприхваћеним научним и инжењерским начелима и доступним релевантним информацијама;</w:t>
      </w:r>
    </w:p>
    <w:p w14:paraId="74EEBA75" w14:textId="02F19BCD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60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висока брзина или „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n</w:t>
      </w:r>
      <w:r w:rsidR="005A106C" w:rsidRPr="001B07B0">
        <w:rPr>
          <w:rFonts w:ascii="Times New Roman" w:eastAsia="Verdana" w:hAnsi="Times New Roman" w:cs="Times New Roman"/>
          <w:sz w:val="24"/>
          <w:szCs w:val="24"/>
          <w:vertAlign w:val="subscript"/>
          <w:lang w:val="sr-Cyrl-RS"/>
        </w:rPr>
        <w:t>hi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” је највиша брзина мотора при којој се постиже 70 % највеће снаге мотора;</w:t>
      </w:r>
    </w:p>
    <w:p w14:paraId="057405BB" w14:textId="09F2AEDA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lastRenderedPageBreak/>
        <w:t>61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ниска брзина или „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n</w:t>
      </w:r>
      <w:r w:rsidR="005A106C" w:rsidRPr="001B07B0">
        <w:rPr>
          <w:rFonts w:ascii="Times New Roman" w:eastAsia="Verdana" w:hAnsi="Times New Roman" w:cs="Times New Roman"/>
          <w:sz w:val="24"/>
          <w:szCs w:val="24"/>
          <w:vertAlign w:val="subscript"/>
          <w:lang w:val="sr-Cyrl-RS"/>
        </w:rPr>
        <w:t>lo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” је најнижа брзина мотора при којој се постиже 50 % највеће снаге мотора;</w:t>
      </w:r>
    </w:p>
    <w:p w14:paraId="4F0C87B6" w14:textId="3E2A92D7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62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највећа снага или „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P</w:t>
      </w:r>
      <w:r w:rsidR="005A106C" w:rsidRPr="001B07B0">
        <w:rPr>
          <w:rFonts w:ascii="Times New Roman" w:eastAsia="Verdana" w:hAnsi="Times New Roman" w:cs="Times New Roman"/>
          <w:sz w:val="24"/>
          <w:szCs w:val="24"/>
          <w:vertAlign w:val="subscript"/>
          <w:lang w:val="sr-Cyrl-RS"/>
        </w:rPr>
        <w:t>max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” је највећа снага изражена у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kW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коју је конструкцијски одредио произвођач;</w:t>
      </w:r>
    </w:p>
    <w:p w14:paraId="2EBF3479" w14:textId="61DFF5DE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63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разређивање дел</w:t>
      </w:r>
      <w:r w:rsidR="005115F0">
        <w:rPr>
          <w:rFonts w:ascii="Times New Roman" w:eastAsia="Verdana" w:hAnsi="Times New Roman" w:cs="Times New Roman"/>
          <w:sz w:val="24"/>
          <w:szCs w:val="24"/>
          <w:lang w:val="sr-Cyrl-RS"/>
        </w:rPr>
        <w:t>и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мичног протока је метода анализе издувних гасова којом се део укупног протока издувних гасова издваја и меша с одговарајућом количином ваздуха за разређивање пре него што дође до филтера за узорковање честица;</w:t>
      </w:r>
    </w:p>
    <w:p w14:paraId="784CDA40" w14:textId="7317F92C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64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помак је разлика између нултог или умереног сигнала и одговарајуће вредности добијене мерним инструментом одмах после његове примене током испитивања емисије;</w:t>
      </w:r>
    </w:p>
    <w:p w14:paraId="375DB05A" w14:textId="3A835DCB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65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распонски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умерити је подешавање инструмента тако да даје одговарајући одзив на умерено мерило које одговара 75 % и 100 % максималне вредности распона инструмента или очекиваног распона употребе;</w:t>
      </w:r>
    </w:p>
    <w:p w14:paraId="20434424" w14:textId="50134F1D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66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распонски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гас је прочишћена мешавина гасова која се употребљава за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распонско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умеравање анализатора гасова;</w:t>
      </w:r>
    </w:p>
    <w:p w14:paraId="4F99CB94" w14:textId="50883F03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67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r w:rsidR="008254A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HEPA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филт</w:t>
      </w:r>
      <w:r w:rsidR="005115F0">
        <w:rPr>
          <w:rFonts w:ascii="Times New Roman" w:eastAsia="Verdana" w:hAnsi="Times New Roman" w:cs="Times New Roman"/>
          <w:sz w:val="24"/>
          <w:szCs w:val="24"/>
          <w:lang w:val="sr-Cyrl-RS"/>
        </w:rPr>
        <w:t>е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р је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високоефикасни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филтер честица из ваздуха који постижу минималну почетну ефикасност уклањања честица од 99,97 % ако се примењује ASTM F 1471–93;</w:t>
      </w:r>
    </w:p>
    <w:p w14:paraId="5A23D6F0" w14:textId="3C4523FF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68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умеравање је процес подешавања одзива мерног система на улазни сигнал тако да му излазни сигнали одговарају распону референтних сигнала;</w:t>
      </w:r>
    </w:p>
    <w:p w14:paraId="2BF99DCA" w14:textId="56489D45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69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специфичне емисије су масене емисије изражене у g/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kWh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;</w:t>
      </w:r>
    </w:p>
    <w:p w14:paraId="222717BD" w14:textId="336A2431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70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наредба рукова</w:t>
      </w:r>
      <w:r w:rsidR="00481A9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ца је улазни сигнал руковаоца мотора за управљање излазним вредностима мотора;</w:t>
      </w:r>
    </w:p>
    <w:p w14:paraId="50C680D4" w14:textId="57B179CB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71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брзина обртања при максималном обртном моменту је брзина мотора при којој се из мотора добија максимални обртни момент како је конструкцијски одредио произвођач;</w:t>
      </w:r>
    </w:p>
    <w:p w14:paraId="6A4936AE" w14:textId="5079BE38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72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регулаторска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брзина мотора је радна брзина мотора кад њом управља уграђени регулатор;</w:t>
      </w:r>
    </w:p>
    <w:p w14:paraId="15C3A01C" w14:textId="0799C94D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73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емисије отвореног кућишта коленастог вратила је било какав проток из кућишта коленастог вратила мотора који се испушта директно у околину;</w:t>
      </w:r>
    </w:p>
    <w:p w14:paraId="0CE1FF0F" w14:textId="6847D3D4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74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сонда је први део преносног вода који преноси узорак до следећег саставног дела у систему за узорковање;</w:t>
      </w:r>
    </w:p>
    <w:p w14:paraId="55028E5B" w14:textId="5BB7352E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75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испитни интервал је 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период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током којег се утврђују специфичне ефективне емисије;</w:t>
      </w:r>
    </w:p>
    <w:p w14:paraId="5E1C23D4" w14:textId="4FBE938D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76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нулти гас је гас који даје нулти одзив у анализатору;</w:t>
      </w:r>
    </w:p>
    <w:p w14:paraId="789775FF" w14:textId="7197A169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77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нулто умерен је инструмент подешен тако да постигне нулти одзив на нулти умерени стандард, на пример прочишћени азот или прочишћени ваздух;</w:t>
      </w:r>
    </w:p>
    <w:p w14:paraId="6596ACBF" w14:textId="10847344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78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недрумски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стационарни испитни циклус при промењивој брзини или „NRSC при променљивој брзини” је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недрумски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стационарни испитни циклус који није NRSC при сталној брзини;</w:t>
      </w:r>
    </w:p>
    <w:p w14:paraId="606E17FE" w14:textId="37BDA02F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79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недрумски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стационарни испитни циклус при сталној брзини или „NRSC при сталној брзини” је сваки од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недрумских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стационарних испитних циклуса;</w:t>
      </w:r>
    </w:p>
    <w:p w14:paraId="7A9B47BB" w14:textId="444E1B4D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80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ажурирање и записивање је учесталост којом анализатор даје нове, тренутне вредности;</w:t>
      </w:r>
    </w:p>
    <w:p w14:paraId="321BD6AF" w14:textId="3523ADEE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81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умерни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гас је прочишћена мешавина гасова која се употребљава за умеравање гасних анализатора;</w:t>
      </w:r>
    </w:p>
    <w:p w14:paraId="7107B3E4" w14:textId="61844943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82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стехиометријски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је однос ваздуха и горива при којем у случају потпуне оксидације горива не би остало ни горива ни кисеоника;</w:t>
      </w:r>
    </w:p>
    <w:p w14:paraId="4F8D1422" w14:textId="00DB7986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83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медиј за одлагање је филт</w:t>
      </w:r>
      <w:r w:rsidR="00DE7604">
        <w:rPr>
          <w:rFonts w:ascii="Times New Roman" w:eastAsia="Verdana" w:hAnsi="Times New Roman" w:cs="Times New Roman"/>
          <w:sz w:val="24"/>
          <w:szCs w:val="24"/>
          <w:lang w:val="sr-Cyrl-RS"/>
        </w:rPr>
        <w:t>е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 честица, џак за узорковање или било која друга направа за одлагање која се употребљава за збирно узорковање;</w:t>
      </w:r>
    </w:p>
    <w:p w14:paraId="724A422D" w14:textId="6B498C5B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lastRenderedPageBreak/>
        <w:t>84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разређивање пуног протока је метода мешања протока и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дувних гасова са ваздухом за разређивање пре него што се део разређеног протока издувних гасова издвоји ради анализе;</w:t>
      </w:r>
    </w:p>
    <w:p w14:paraId="25D9B2C8" w14:textId="42105877" w:rsidR="005A106C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85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допуштено одступање је интервал унутар којега се налази 95 % забележених вредности одређене количине, при чему преосталих 5 % забележених вредности одступа од интервала допуштеног одступања;</w:t>
      </w:r>
    </w:p>
    <w:p w14:paraId="0B0FE1DB" w14:textId="7F9A7C2F" w:rsidR="00CF6CB6" w:rsidRPr="001B07B0" w:rsidRDefault="00803831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86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сервисни начин рада је посебан начин рада мотора с двост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</w:t>
      </w:r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уким горивом који се активира за потребе поправки или премештања </w:t>
      </w:r>
      <w:proofErr w:type="spellStart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недрумске</w:t>
      </w:r>
      <w:proofErr w:type="spellEnd"/>
      <w:r w:rsidR="005A106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покретне машине на сигурну локацију кад рад на двоструко гориво није могућ.</w:t>
      </w:r>
      <w:bookmarkStart w:id="1" w:name="_Hlk217288184"/>
      <w:r w:rsidR="00481A99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”.</w:t>
      </w:r>
      <w:bookmarkEnd w:id="1"/>
    </w:p>
    <w:p w14:paraId="0A78C8EF" w14:textId="56C13BA9" w:rsidR="002E0058" w:rsidRPr="001B07B0" w:rsidRDefault="002E0058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E0AF9EA" w14:textId="77777777" w:rsidR="002E0058" w:rsidRPr="001B07B0" w:rsidRDefault="002E0058" w:rsidP="002E005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 2.</w:t>
      </w:r>
    </w:p>
    <w:p w14:paraId="3FFCACBD" w14:textId="4CC5018E" w:rsidR="002E0058" w:rsidRPr="001B07B0" w:rsidRDefault="002E0058" w:rsidP="002E00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У члану 13. после става 9. додаје се став 10. који гласи:</w:t>
      </w:r>
    </w:p>
    <w:p w14:paraId="47B7C403" w14:textId="5338733F" w:rsidR="002E0058" w:rsidRPr="001B07B0" w:rsidRDefault="002E0058" w:rsidP="002E0058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„Стационарни и динамички испитни циклуси из овог члана морају испуњавати карактеристике из Прилога 5 – Карактеристике стационарних и динамичких испитних циклуса, који је одштампан уз ову уредбу и чини њен саставни део.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”.</w:t>
      </w:r>
    </w:p>
    <w:p w14:paraId="6FDAAEA0" w14:textId="77777777" w:rsidR="00481A99" w:rsidRPr="001B07B0" w:rsidRDefault="00481A99" w:rsidP="005A10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B58524A" w14:textId="16E04B00" w:rsidR="00CF6CB6" w:rsidRPr="001B07B0" w:rsidRDefault="00CF6CB6" w:rsidP="00CF6CB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Члан </w:t>
      </w:r>
      <w:r w:rsidR="002D74D9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0659E8E2" w14:textId="36B19302" w:rsidR="00CF6CB6" w:rsidRPr="001B07B0" w:rsidRDefault="00CF6CB6" w:rsidP="00CF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У ч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лан</w:t>
      </w:r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4. </w:t>
      </w:r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после става 4. додају се </w:t>
      </w:r>
      <w:proofErr w:type="spellStart"/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ст</w:t>
      </w:r>
      <w:proofErr w:type="spellEnd"/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. 5</w:t>
      </w:r>
      <w:r w:rsidR="008025B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8025BA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– </w:t>
      </w:r>
      <w:r w:rsidR="00EC2059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14</w:t>
      </w:r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. који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глас</w:t>
      </w:r>
      <w:r w:rsidR="00A41BF5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4247CD4A" w14:textId="200976D5" w:rsidR="00CF6CB6" w:rsidRPr="001B07B0" w:rsidRDefault="00CF6CB6" w:rsidP="00A41BF5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bookmarkStart w:id="2" w:name="_Hlk228448465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„</w:t>
      </w:r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Референтна горива и остала горива, мешавине горива или емулзије горива које је произвођач унео у захтев за </w:t>
      </w:r>
      <w:proofErr w:type="spellStart"/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хомологацију</w:t>
      </w:r>
      <w:proofErr w:type="spellEnd"/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типа из става 2. овог члана морају испуњавати </w:t>
      </w:r>
      <w:r w:rsidR="00DF252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захтеве</w:t>
      </w:r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 бити описани у описној мапи </w:t>
      </w:r>
      <w:r w:rsidR="00454FC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из</w:t>
      </w:r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Прилог</w:t>
      </w:r>
      <w:r w:rsidR="00454FC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а</w:t>
      </w:r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2D74D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</w:t>
      </w:r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CD2FEA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–</w:t>
      </w:r>
      <w:r w:rsidR="00A41B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CD2FEA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Захтеви за остала горива, мешавине горива или емулзије горива, који је одштампан уз ову уредбу и чини њен саставни део.</w:t>
      </w:r>
    </w:p>
    <w:p w14:paraId="2E48BACB" w14:textId="24709E83" w:rsidR="00CF6CB6" w:rsidRPr="001B07B0" w:rsidRDefault="00DF2526" w:rsidP="00CF6CB6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Референтна горива из става 2. овог члана морају испуњавати техничке карактеристике </w:t>
      </w:r>
      <w:r w:rsidR="00454FC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из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Прилог</w:t>
      </w:r>
      <w:r w:rsidR="00454FC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2D74D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7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– </w:t>
      </w:r>
      <w:r w:rsidR="003D2B7E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Т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ехничке карактеристике референтних горива, који је одштампан уз ову уредбу и чини њен саставни део.</w:t>
      </w:r>
    </w:p>
    <w:p w14:paraId="7C58B6BD" w14:textId="607250F2" w:rsidR="00BB7B62" w:rsidRPr="001B07B0" w:rsidRDefault="00EC2314" w:rsidP="00BB7B62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Услови за спровођење испитивања 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из става </w:t>
      </w:r>
      <w:r w:rsidR="003D099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тач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. 1) и 2)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овог члана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методе за утврђивање поставки оптерећења и брзине мотора из члана 13. ове уредбе, методе за узимање у обзир емисиј</w:t>
      </w:r>
      <w:r w:rsidR="00CF16E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е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гасова из кућишта коленастог вратила из става </w:t>
      </w:r>
      <w:r w:rsidR="003D099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. тачка </w:t>
      </w:r>
      <w:r w:rsidR="003D099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подтачка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3D099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(1)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3D099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в</w:t>
      </w:r>
      <w:r w:rsidR="001F2D33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ог члана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 методе за утврђивање и узимање у обзир </w:t>
      </w:r>
      <w:r w:rsidR="00A97E8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сталне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 </w:t>
      </w:r>
      <w:proofErr w:type="spellStart"/>
      <w:r w:rsidR="00A97E8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неучестале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регенерације система за накнадну обраду издувних гасова из става </w:t>
      </w:r>
      <w:r w:rsidR="00A97E8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. тачке </w:t>
      </w:r>
      <w:r w:rsidR="00A97E8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подтачка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A97E8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(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2) </w:t>
      </w:r>
      <w:r w:rsidR="001F2D33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овог члана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морају испуњавати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захтеве из одељака 5. и 6.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Прилога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8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– </w:t>
      </w:r>
      <w:r w:rsidR="00C8705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Спровођење испитивања емисије и захтеви за мерну опрему</w:t>
      </w:r>
      <w:r w:rsidR="00BB7B6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</w:p>
    <w:p w14:paraId="7482A6E9" w14:textId="11F6DE68" w:rsidR="001A1D71" w:rsidRPr="001B07B0" w:rsidRDefault="001A1D71" w:rsidP="001A1D71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Испитивања из става </w:t>
      </w:r>
      <w:r w:rsidR="0066079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. тач</w:t>
      </w:r>
      <w:r w:rsidR="005F794C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ка </w:t>
      </w:r>
      <w:r w:rsidR="0066079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1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и </w:t>
      </w:r>
      <w:r w:rsidR="005F794C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тачка </w:t>
      </w:r>
      <w:r w:rsidR="0066079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6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)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подтачка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66079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(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="0066079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овог члана морају се спроводити</w:t>
      </w:r>
      <w:r w:rsidR="0066079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у складу са поступцима из одељка 7. Прилога 8 </w:t>
      </w:r>
      <w:r w:rsidR="00F046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ове уредбе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 Прилога 9 – </w:t>
      </w:r>
      <w:r w:rsidR="001E36CB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Захтеви у погледу радних способности и поступци испитивања за моторе с двојним горивом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</w:p>
    <w:p w14:paraId="57439D07" w14:textId="1925287D" w:rsidR="007F0857" w:rsidRPr="001B07B0" w:rsidRDefault="007F0857" w:rsidP="001A1D71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bookmarkStart w:id="3" w:name="_Hlk217292645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Опрема за спровођење испитивања из става 4. тачка 1) </w:t>
      </w:r>
      <w:r w:rsidR="009F49FB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овог члана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 опрема за мерење и узимање узорака емисија из става </w:t>
      </w:r>
      <w:r w:rsidR="001F2D33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. тачка 2) овог члана мора испуњавати техничке захтеве и карактеристике из </w:t>
      </w:r>
      <w:r w:rsidR="00E1268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дељка 9. Прилога 8. ове уредбе.</w:t>
      </w:r>
    </w:p>
    <w:bookmarkEnd w:id="3"/>
    <w:p w14:paraId="2CA67F25" w14:textId="76799EFB" w:rsidR="007F0857" w:rsidRPr="001B07B0" w:rsidRDefault="007F0857" w:rsidP="007F0857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b/>
          <w:bCs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Мерења и узимање узорака емисија из става </w:t>
      </w:r>
      <w:r w:rsidR="006846C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4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. тачка 2) овог члана морају се спроводити у складу са поступцима из Одељка 8. и Додатка 1. Прилога 8</w:t>
      </w:r>
      <w:r w:rsidR="008F7005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ове уредбе.</w:t>
      </w:r>
    </w:p>
    <w:p w14:paraId="7102FEC7" w14:textId="5448A000" w:rsidR="006846C6" w:rsidRPr="001B07B0" w:rsidRDefault="001F2D33" w:rsidP="006846C6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Метода за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евалуацију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података и обрачунавање</w:t>
      </w:r>
      <w:r w:rsidR="006846C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из става 4. тачка 3) овог члана морају се </w:t>
      </w:r>
      <w:bookmarkStart w:id="4" w:name="_Hlk217294486"/>
      <w:proofErr w:type="spellStart"/>
      <w:r w:rsidR="006846C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евалуирати</w:t>
      </w:r>
      <w:proofErr w:type="spellEnd"/>
      <w:r w:rsidR="006846C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 израчунавати </w:t>
      </w:r>
      <w:bookmarkEnd w:id="4"/>
      <w:r w:rsidR="006846C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у складу са методом из Прилога 10 – </w:t>
      </w:r>
      <w:r w:rsidR="006318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Метода за </w:t>
      </w:r>
      <w:proofErr w:type="spellStart"/>
      <w:r w:rsidR="006318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евалуацију</w:t>
      </w:r>
      <w:proofErr w:type="spellEnd"/>
      <w:r w:rsidR="006318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података и обрачунавање</w:t>
      </w:r>
      <w:r w:rsidR="006846C6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</w:p>
    <w:p w14:paraId="4B3CE591" w14:textId="11EB5EC7" w:rsidR="00427F0B" w:rsidRPr="001B07B0" w:rsidRDefault="00427F0B" w:rsidP="00427F0B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Резултати лабораторијског испитивања емисија морају се прилагодити ради укључивања фактора погоршања који укључују факторе повезане са мерењем броја честица (</w:t>
      </w:r>
      <w:r w:rsidR="00CF16E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Р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N) и са моторима на </w:t>
      </w:r>
      <w:r w:rsidR="001F2D33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гас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из став</w:t>
      </w:r>
      <w:r w:rsidR="001F2D33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4. тачка 4) 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ов</w:t>
      </w:r>
      <w:r w:rsidR="001F2D33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ог члана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у складу са методологијом из Прилога 11 – </w:t>
      </w:r>
      <w:r w:rsidR="00E8411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Методологија за прилагођавања резултата </w:t>
      </w:r>
      <w:r w:rsidR="00E8411C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lastRenderedPageBreak/>
        <w:t>лабораторијског испитивања емисије ради укључивања фактора погоршања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</w:p>
    <w:p w14:paraId="15AAD2D9" w14:textId="730D5BEA" w:rsidR="00BD7E04" w:rsidRPr="001B07B0" w:rsidRDefault="00BD7E04" w:rsidP="00BD7E04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Мерења и испитивања која се односе на начин контроле емисија из става 4. тачка 6)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подтачка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(1)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овог члана, </w:t>
      </w:r>
      <w:r w:rsidR="00CF16E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на </w:t>
      </w:r>
      <w:r w:rsidR="007627F2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контролне мере оксида азота</w:t>
      </w:r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из става 4. тачка </w:t>
      </w:r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6) </w:t>
      </w:r>
      <w:proofErr w:type="spellStart"/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подтачка</w:t>
      </w:r>
      <w:proofErr w:type="spellEnd"/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(2) овог члана и на мере за контролу емисије чврстих </w:t>
      </w:r>
      <w:proofErr w:type="spellStart"/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загађујућих</w:t>
      </w:r>
      <w:proofErr w:type="spellEnd"/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материја документација потребна за њихово доказивање морају се спроводити у складу са технички</w:t>
      </w:r>
      <w:r w:rsidR="009B427D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м</w:t>
      </w:r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захтевима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из Прилога 1</w:t>
      </w:r>
      <w:r w:rsidR="007627F2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2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– </w:t>
      </w:r>
      <w:r w:rsidR="006F21F1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Захтеви у погледу стратегија контроле емисија, мера за контролу NOx и мера за контролу честица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</w:p>
    <w:p w14:paraId="4C8EAAAF" w14:textId="6F6AFA1D" w:rsidR="007D3BF5" w:rsidRPr="001B07B0" w:rsidRDefault="007D3BF5" w:rsidP="007D3BF5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Мерења и испитивања која се односе на </w:t>
      </w:r>
      <w:r w:rsidR="00996568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подручја 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из става 4. тачка 6) </w:t>
      </w:r>
      <w:proofErr w:type="spellStart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подтачка</w:t>
      </w:r>
      <w:proofErr w:type="spellEnd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(</w:t>
      </w:r>
      <w:r w:rsidR="0099656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3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) овог члана морају се спроводити у складу са технички</w:t>
      </w:r>
      <w:r w:rsidR="00CF16E9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м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захтевима из Прилога 1</w:t>
      </w:r>
      <w:r w:rsidR="00996568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3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– </w:t>
      </w:r>
      <w:r w:rsidR="007B1CCE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Мерења и испитивања у погледу подручја које је повезано с релевантним </w:t>
      </w:r>
      <w:proofErr w:type="spellStart"/>
      <w:r w:rsidR="007B1CCE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недрумским</w:t>
      </w:r>
      <w:proofErr w:type="spellEnd"/>
      <w:r w:rsidR="007B1CCE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стационарним испитним циклусом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  <w:r w:rsidR="004C43CB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”.</w:t>
      </w:r>
    </w:p>
    <w:bookmarkEnd w:id="2"/>
    <w:p w14:paraId="0180D31F" w14:textId="77777777" w:rsidR="006846C6" w:rsidRPr="001B07B0" w:rsidRDefault="006846C6" w:rsidP="006846C6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09C71BE5" w14:textId="6CAD4D75" w:rsidR="008D5EB8" w:rsidRPr="001B07B0" w:rsidRDefault="008D5EB8" w:rsidP="008D5EB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 4.</w:t>
      </w:r>
    </w:p>
    <w:p w14:paraId="3685DC5C" w14:textId="0940F800" w:rsidR="008D5EB8" w:rsidRPr="001B07B0" w:rsidRDefault="008D5EB8" w:rsidP="008D5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У члану 25. после става </w:t>
      </w:r>
      <w:r w:rsidR="001F2D33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додају се </w:t>
      </w:r>
      <w:proofErr w:type="spellStart"/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ст</w:t>
      </w:r>
      <w:proofErr w:type="spellEnd"/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 w:rsidR="001F2D33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8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и </w:t>
      </w:r>
      <w:r w:rsidR="001F2D33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9</w:t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. који гласе:</w:t>
      </w:r>
    </w:p>
    <w:p w14:paraId="29310C05" w14:textId="325F065D" w:rsidR="008D5EB8" w:rsidRPr="001B07B0" w:rsidRDefault="008D5EB8" w:rsidP="008D5EB8">
      <w:pPr>
        <w:spacing w:after="0" w:line="240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bookmarkStart w:id="5" w:name="_Hlk228448527"/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„Техничке службе морају бити у складу са стандардима радног учинка из Прилога 14 – </w:t>
      </w:r>
      <w:r w:rsidR="009F747A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Стандарди способности и оцењивање техничких служби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, који је одштампан уз ову уредбу и чини њен саставни део.</w:t>
      </w:r>
    </w:p>
    <w:p w14:paraId="46BEBC85" w14:textId="32D4F766" w:rsidR="00CF6CB6" w:rsidRPr="001B07B0" w:rsidRDefault="008D5EB8" w:rsidP="008F70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r w:rsidRPr="001B07B0">
        <w:rPr>
          <w:rFonts w:ascii="Times New Roman" w:eastAsiaTheme="minorEastAsia" w:hAnsi="Times New Roman" w:cs="Times New Roman"/>
          <w:sz w:val="24"/>
          <w:szCs w:val="24"/>
          <w:lang w:val="sr-Cyrl-RS"/>
        </w:rPr>
        <w:t>Хомологациона</w:t>
      </w:r>
      <w:proofErr w:type="spellEnd"/>
      <w:r w:rsidRPr="001B07B0">
        <w:rPr>
          <w:rFonts w:ascii="Times New Roman" w:eastAsiaTheme="minorEastAsia" w:hAnsi="Times New Roman" w:cs="Times New Roman"/>
          <w:sz w:val="24"/>
          <w:szCs w:val="24"/>
          <w:lang w:val="sr-Cyrl-RS"/>
        </w:rPr>
        <w:t xml:space="preserve"> тела оцењују техничке службе у складу са поступком из Прилога </w:t>
      </w:r>
      <w:r w:rsidR="0083361D" w:rsidRPr="001B07B0">
        <w:rPr>
          <w:rFonts w:ascii="Times New Roman" w:eastAsiaTheme="minorEastAsia" w:hAnsi="Times New Roman" w:cs="Times New Roman"/>
          <w:sz w:val="24"/>
          <w:szCs w:val="24"/>
          <w:lang w:val="sr-Cyrl-RS"/>
        </w:rPr>
        <w:t>14</w:t>
      </w:r>
      <w:r w:rsidR="00CF6CB6" w:rsidRPr="001B07B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F6CB6"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”.</w:t>
      </w:r>
      <w:bookmarkEnd w:id="5"/>
    </w:p>
    <w:p w14:paraId="1E53071F" w14:textId="557C93F6" w:rsidR="00CF6CB6" w:rsidRPr="001B07B0" w:rsidRDefault="00CF6CB6" w:rsidP="00CF6CB6">
      <w:pPr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Члан </w:t>
      </w:r>
      <w:r w:rsidR="00B21CF5"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5</w:t>
      </w:r>
      <w:r w:rsidRPr="001B07B0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7244EAB4" w14:textId="78AE697E" w:rsidR="00CF6CB6" w:rsidRPr="001B07B0" w:rsidRDefault="00D77D68" w:rsidP="00CF6C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 26. мења се и гласи:</w:t>
      </w:r>
    </w:p>
    <w:p w14:paraId="58ECEF4E" w14:textId="11CA0F35" w:rsidR="00CF6CB6" w:rsidRPr="001B07B0" w:rsidRDefault="00D77D68" w:rsidP="00D77D68">
      <w:pPr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Theme="minorEastAsia" w:hAnsi="Times New Roman" w:cs="Times New Roman"/>
          <w:sz w:val="24"/>
          <w:szCs w:val="24"/>
          <w:lang w:val="sr-Cyrl-RS"/>
        </w:rPr>
        <w:t>„Члан 26.</w:t>
      </w:r>
    </w:p>
    <w:p w14:paraId="689B1F8F" w14:textId="3634B8E7" w:rsidR="006E17F7" w:rsidRPr="001B07B0" w:rsidRDefault="00D77D68" w:rsidP="006E17F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Ова уредба је усклађена са свим начелима и битним захтевима из Уредбе (ЕУ) 2016/1628 Европског парламента и Савета од 20. септембра 2016. године о захтевима који се односе на ограничење емисије гасовитих и чврстих материја и </w:t>
      </w:r>
      <w:proofErr w:type="spellStart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хомологацији</w:t>
      </w:r>
      <w:proofErr w:type="spellEnd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типа за бродске моторе са унутрашњим сагоревањем за </w:t>
      </w:r>
      <w:proofErr w:type="spellStart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недрумске</w:t>
      </w:r>
      <w:proofErr w:type="spellEnd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покретне машине, </w:t>
      </w:r>
      <w:bookmarkStart w:id="6" w:name="_Hlk217301695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Делегиране уредбе Комисије (ЕУ) 2017/654 од 19. </w:t>
      </w:r>
      <w:r w:rsidR="00CF16E9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децембра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2016.</w:t>
      </w:r>
      <w:r w:rsidR="007044B3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године</w:t>
      </w:r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о допуни Уредбе (ЕУ) 2016/1628 Европског парламента и Савета у погледу техничких и општих захтева који се односе на граничне вредности емисија и </w:t>
      </w:r>
      <w:proofErr w:type="spellStart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хомологацију</w:t>
      </w:r>
      <w:proofErr w:type="spellEnd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типа за моторе с унутрашњим сагоревањем у </w:t>
      </w:r>
      <w:proofErr w:type="spellStart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недрумским</w:t>
      </w:r>
      <w:proofErr w:type="spellEnd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покретним машинама </w:t>
      </w:r>
      <w:bookmarkEnd w:id="6"/>
      <w:r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и </w:t>
      </w:r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Делегиране уредбе Комисије (ЕУ) 2018/989 од 18. маја 2018.</w:t>
      </w:r>
      <w:r w:rsidR="007044B3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године</w:t>
      </w:r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о измени и исправци Делегиране уредбе Комисије (ЕУ) 2017/654 од 19. </w:t>
      </w:r>
      <w:r w:rsidR="00CF16E9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децембра</w:t>
      </w:r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2016.</w:t>
      </w:r>
      <w:r w:rsidR="007044B3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године </w:t>
      </w:r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о допуни Уредбе (ЕУ) 2016/1628 Европског парламента и Савета у погледу техничких и општих захтева који се односе на граничне вредности емисија и </w:t>
      </w:r>
      <w:proofErr w:type="spellStart"/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хомологацију</w:t>
      </w:r>
      <w:proofErr w:type="spellEnd"/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типа за моторе с унутрашњим сагоревањем у </w:t>
      </w:r>
      <w:proofErr w:type="spellStart"/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недрумским</w:t>
      </w:r>
      <w:proofErr w:type="spellEnd"/>
      <w:r w:rsidR="00EE6FF5" w:rsidRPr="001B07B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покретним машинама.</w:t>
      </w:r>
      <w:r w:rsidR="005B62D2" w:rsidRPr="001B07B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  <w:t>”</w:t>
      </w:r>
      <w:r w:rsidR="004C43CB" w:rsidRPr="001B07B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  <w:t>.</w:t>
      </w:r>
    </w:p>
    <w:p w14:paraId="401B0A21" w14:textId="45511CD7" w:rsidR="006E17F7" w:rsidRPr="001B07B0" w:rsidRDefault="006E17F7" w:rsidP="006E17F7">
      <w:pPr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  <w:t>Члан 6.</w:t>
      </w:r>
    </w:p>
    <w:p w14:paraId="6318E96A" w14:textId="47B76722" w:rsidR="00CF6CB6" w:rsidRPr="001B07B0" w:rsidRDefault="006E17F7" w:rsidP="00025A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  <w:tab/>
      </w:r>
      <w:r w:rsidR="00025A8C" w:rsidRPr="001B07B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sr-Cyrl-RS"/>
        </w:rPr>
        <w:t>Ова уредба ступа на снагу осмог дана од дана објављивања у „Службеном гласнику Републике Србије”, а примењује се од 31. децембра 2027. године.</w:t>
      </w:r>
    </w:p>
    <w:p w14:paraId="61FC5D44" w14:textId="77777777" w:rsidR="00025A8C" w:rsidRPr="001B07B0" w:rsidRDefault="00025A8C" w:rsidP="00025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4B845F7" w14:textId="069012A4" w:rsidR="00CF6CB6" w:rsidRPr="001B07B0" w:rsidRDefault="00CF6CB6" w:rsidP="00CF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05 Број:</w:t>
      </w:r>
      <w:r w:rsidR="00F76C6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110-5840/2026-1</w:t>
      </w:r>
    </w:p>
    <w:p w14:paraId="6C60F682" w14:textId="44EAC872" w:rsidR="00CF6CB6" w:rsidRPr="001B07B0" w:rsidRDefault="00CF6CB6" w:rsidP="00CF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Београду, </w:t>
      </w:r>
      <w:r w:rsidR="00F76C60">
        <w:rPr>
          <w:rFonts w:ascii="Times New Roman" w:eastAsia="Times New Roman" w:hAnsi="Times New Roman" w:cs="Times New Roman"/>
          <w:sz w:val="24"/>
          <w:szCs w:val="24"/>
          <w:lang w:val="sr-Cyrl-RS"/>
        </w:rPr>
        <w:t>18. јуна 2026. године</w:t>
      </w:r>
    </w:p>
    <w:p w14:paraId="00277FEC" w14:textId="77777777" w:rsidR="00CF6CB6" w:rsidRPr="001B07B0" w:rsidRDefault="00CF6CB6" w:rsidP="00CF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>В Л А Д А</w:t>
      </w:r>
    </w:p>
    <w:p w14:paraId="2F80B104" w14:textId="77777777" w:rsidR="00F603BE" w:rsidRPr="001B07B0" w:rsidRDefault="00F603BE" w:rsidP="00F603BE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</w:p>
    <w:p w14:paraId="5D154878" w14:textId="77777777" w:rsidR="00F603BE" w:rsidRPr="001B07B0" w:rsidRDefault="00F603BE" w:rsidP="00F603BE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 </w:t>
      </w:r>
    </w:p>
    <w:p w14:paraId="45E99362" w14:textId="309442B9" w:rsidR="00F603BE" w:rsidRPr="001B07B0" w:rsidRDefault="00F603BE" w:rsidP="00F603BE">
      <w:pP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ПРВИ ПОТПРЕДСЕДНИК ВЛАДЕ</w:t>
      </w:r>
    </w:p>
    <w:p w14:paraId="2CC7FDA1" w14:textId="77777777" w:rsidR="00F603BE" w:rsidRPr="001B07B0" w:rsidRDefault="00F603BE" w:rsidP="00F603BE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F59D9F7" w14:textId="52065433" w:rsidR="00F603BE" w:rsidRPr="001B07B0" w:rsidRDefault="00F603BE" w:rsidP="00F603BE">
      <w:pPr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B07B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Синиша Мали</w:t>
      </w:r>
      <w:r w:rsidR="00F76C6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F76C60">
        <w:rPr>
          <w:rFonts w:ascii="Times New Roman" w:eastAsia="Times New Roman" w:hAnsi="Times New Roman" w:cs="Times New Roman"/>
          <w:sz w:val="24"/>
          <w:szCs w:val="24"/>
          <w:lang w:val="sr-Cyrl-RS"/>
        </w:rPr>
        <w:t>с.р</w:t>
      </w:r>
      <w:proofErr w:type="spellEnd"/>
      <w:r w:rsidR="00F76C60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sectPr w:rsidR="00F603BE" w:rsidRPr="001B07B0" w:rsidSect="009B427D">
      <w:footerReference w:type="default" r:id="rId7"/>
      <w:pgSz w:w="11907" w:h="16839" w:code="9"/>
      <w:pgMar w:top="1134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CD80" w14:textId="77777777" w:rsidR="00B77946" w:rsidRDefault="00B77946" w:rsidP="004A645F">
      <w:pPr>
        <w:spacing w:after="0" w:line="240" w:lineRule="auto"/>
      </w:pPr>
      <w:r>
        <w:separator/>
      </w:r>
    </w:p>
  </w:endnote>
  <w:endnote w:type="continuationSeparator" w:id="0">
    <w:p w14:paraId="3E2DFEBE" w14:textId="77777777" w:rsidR="00B77946" w:rsidRDefault="00B77946" w:rsidP="004A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42295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3D12E" w14:textId="76AAF133" w:rsidR="004A645F" w:rsidRDefault="004A64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D2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0CC493" w14:textId="77777777" w:rsidR="004A645F" w:rsidRDefault="004A6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66739" w14:textId="77777777" w:rsidR="00B77946" w:rsidRDefault="00B77946" w:rsidP="004A645F">
      <w:pPr>
        <w:spacing w:after="0" w:line="240" w:lineRule="auto"/>
      </w:pPr>
      <w:r>
        <w:separator/>
      </w:r>
    </w:p>
  </w:footnote>
  <w:footnote w:type="continuationSeparator" w:id="0">
    <w:p w14:paraId="17BA111F" w14:textId="77777777" w:rsidR="00B77946" w:rsidRDefault="00B77946" w:rsidP="004A64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EF1"/>
    <w:rsid w:val="00025A8C"/>
    <w:rsid w:val="000318A5"/>
    <w:rsid w:val="00040E4C"/>
    <w:rsid w:val="00041EC6"/>
    <w:rsid w:val="0006361E"/>
    <w:rsid w:val="00082C87"/>
    <w:rsid w:val="000C7EF1"/>
    <w:rsid w:val="000D3652"/>
    <w:rsid w:val="000D4533"/>
    <w:rsid w:val="000E4045"/>
    <w:rsid w:val="000E5D80"/>
    <w:rsid w:val="000F1101"/>
    <w:rsid w:val="00137E40"/>
    <w:rsid w:val="001524AA"/>
    <w:rsid w:val="001A1D71"/>
    <w:rsid w:val="001B07B0"/>
    <w:rsid w:val="001B7D2E"/>
    <w:rsid w:val="001D5A9D"/>
    <w:rsid w:val="001E36CB"/>
    <w:rsid w:val="001E68FA"/>
    <w:rsid w:val="001F2D33"/>
    <w:rsid w:val="00213C72"/>
    <w:rsid w:val="002370CD"/>
    <w:rsid w:val="002471AF"/>
    <w:rsid w:val="002652D5"/>
    <w:rsid w:val="00287761"/>
    <w:rsid w:val="00287D10"/>
    <w:rsid w:val="002D74D9"/>
    <w:rsid w:val="002E0058"/>
    <w:rsid w:val="0038133B"/>
    <w:rsid w:val="003C7970"/>
    <w:rsid w:val="003D0998"/>
    <w:rsid w:val="003D2B7E"/>
    <w:rsid w:val="00422536"/>
    <w:rsid w:val="00427F0B"/>
    <w:rsid w:val="004443AB"/>
    <w:rsid w:val="00454FCC"/>
    <w:rsid w:val="00481A99"/>
    <w:rsid w:val="004A645F"/>
    <w:rsid w:val="004B7087"/>
    <w:rsid w:val="004C43CB"/>
    <w:rsid w:val="005115F0"/>
    <w:rsid w:val="00513D91"/>
    <w:rsid w:val="00523060"/>
    <w:rsid w:val="0052613B"/>
    <w:rsid w:val="0053483C"/>
    <w:rsid w:val="0058007B"/>
    <w:rsid w:val="00590436"/>
    <w:rsid w:val="00594DF2"/>
    <w:rsid w:val="005A106C"/>
    <w:rsid w:val="005A1F44"/>
    <w:rsid w:val="005A7B95"/>
    <w:rsid w:val="005B1928"/>
    <w:rsid w:val="005B62D2"/>
    <w:rsid w:val="005D36CA"/>
    <w:rsid w:val="005E16D6"/>
    <w:rsid w:val="005F6279"/>
    <w:rsid w:val="005F794C"/>
    <w:rsid w:val="006020E1"/>
    <w:rsid w:val="00613831"/>
    <w:rsid w:val="006318F5"/>
    <w:rsid w:val="00634DB6"/>
    <w:rsid w:val="00660791"/>
    <w:rsid w:val="00663E1C"/>
    <w:rsid w:val="00673B4C"/>
    <w:rsid w:val="006846C6"/>
    <w:rsid w:val="006E17F7"/>
    <w:rsid w:val="006F21F1"/>
    <w:rsid w:val="007044B3"/>
    <w:rsid w:val="00713159"/>
    <w:rsid w:val="00722F7E"/>
    <w:rsid w:val="007627F2"/>
    <w:rsid w:val="0076415B"/>
    <w:rsid w:val="00794206"/>
    <w:rsid w:val="007B1CCE"/>
    <w:rsid w:val="007B7D7E"/>
    <w:rsid w:val="007D3BF5"/>
    <w:rsid w:val="007F0857"/>
    <w:rsid w:val="007F7805"/>
    <w:rsid w:val="008007BE"/>
    <w:rsid w:val="008025BA"/>
    <w:rsid w:val="00803831"/>
    <w:rsid w:val="008251BD"/>
    <w:rsid w:val="008254A9"/>
    <w:rsid w:val="0083361D"/>
    <w:rsid w:val="00850E76"/>
    <w:rsid w:val="008D43F9"/>
    <w:rsid w:val="008D5EB8"/>
    <w:rsid w:val="008F4FB0"/>
    <w:rsid w:val="008F7005"/>
    <w:rsid w:val="00946FC6"/>
    <w:rsid w:val="00996568"/>
    <w:rsid w:val="009A2D03"/>
    <w:rsid w:val="009B427D"/>
    <w:rsid w:val="009F49FB"/>
    <w:rsid w:val="009F747A"/>
    <w:rsid w:val="00A04075"/>
    <w:rsid w:val="00A17575"/>
    <w:rsid w:val="00A27C02"/>
    <w:rsid w:val="00A41BF5"/>
    <w:rsid w:val="00A56172"/>
    <w:rsid w:val="00A83F14"/>
    <w:rsid w:val="00A97E8C"/>
    <w:rsid w:val="00AE617C"/>
    <w:rsid w:val="00B21CF5"/>
    <w:rsid w:val="00B431C0"/>
    <w:rsid w:val="00B77946"/>
    <w:rsid w:val="00BA1CD7"/>
    <w:rsid w:val="00BB7B62"/>
    <w:rsid w:val="00BD0765"/>
    <w:rsid w:val="00BD1D73"/>
    <w:rsid w:val="00BD7E04"/>
    <w:rsid w:val="00BF42A1"/>
    <w:rsid w:val="00C13F96"/>
    <w:rsid w:val="00C35F81"/>
    <w:rsid w:val="00C4394C"/>
    <w:rsid w:val="00C87058"/>
    <w:rsid w:val="00C93BAF"/>
    <w:rsid w:val="00C94D17"/>
    <w:rsid w:val="00CD2FEA"/>
    <w:rsid w:val="00CF16E9"/>
    <w:rsid w:val="00CF6CB6"/>
    <w:rsid w:val="00D04113"/>
    <w:rsid w:val="00D048AC"/>
    <w:rsid w:val="00D07656"/>
    <w:rsid w:val="00D15528"/>
    <w:rsid w:val="00D235A0"/>
    <w:rsid w:val="00D301EB"/>
    <w:rsid w:val="00D70F9B"/>
    <w:rsid w:val="00D77D68"/>
    <w:rsid w:val="00D77EF8"/>
    <w:rsid w:val="00D84F5E"/>
    <w:rsid w:val="00D85351"/>
    <w:rsid w:val="00DE7604"/>
    <w:rsid w:val="00DF2526"/>
    <w:rsid w:val="00E00451"/>
    <w:rsid w:val="00E0107E"/>
    <w:rsid w:val="00E12686"/>
    <w:rsid w:val="00E22F2D"/>
    <w:rsid w:val="00E43046"/>
    <w:rsid w:val="00E75F3B"/>
    <w:rsid w:val="00E8411C"/>
    <w:rsid w:val="00EC2059"/>
    <w:rsid w:val="00EC2314"/>
    <w:rsid w:val="00ED1C0D"/>
    <w:rsid w:val="00EE6FF5"/>
    <w:rsid w:val="00EF7EC9"/>
    <w:rsid w:val="00F03DA8"/>
    <w:rsid w:val="00F046F2"/>
    <w:rsid w:val="00F33E42"/>
    <w:rsid w:val="00F57CF9"/>
    <w:rsid w:val="00F603BE"/>
    <w:rsid w:val="00F76C60"/>
    <w:rsid w:val="00F8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76543"/>
  <w15:docId w15:val="{C6CB05C8-A0C1-4FEF-89B7-A66EB56CE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  <w:style w:type="paragraph" w:styleId="ListParagraph">
    <w:name w:val="List Paragraph"/>
    <w:basedOn w:val="Normal"/>
    <w:uiPriority w:val="99"/>
    <w:rsid w:val="00D8535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A64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45F"/>
    <w:rPr>
      <w:rFonts w:ascii="Verdana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Boot</Company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Milovan Stepanov</dc:creator>
  <cp:lastModifiedBy>Andjelka Opacic</cp:lastModifiedBy>
  <cp:revision>2</cp:revision>
  <cp:lastPrinted>2026-06-19T08:38:00Z</cp:lastPrinted>
  <dcterms:created xsi:type="dcterms:W3CDTF">2026-06-22T06:34:00Z</dcterms:created>
  <dcterms:modified xsi:type="dcterms:W3CDTF">2026-06-22T06:34:00Z</dcterms:modified>
</cp:coreProperties>
</file>